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报告编号为XBJ25420142484344273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一、武汉市东湖新技术开发区钱小姜食品店销售的生姜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8月8日抽自武汉市东湖新技术开发区钱小姜食品店销售的生姜，</w:t>
      </w:r>
      <w:bookmarkEnd w:id="0"/>
      <w:r>
        <w:rPr>
          <w:rFonts w:hint="eastAsia" w:eastAsia="仿宋_GB2312"/>
          <w:sz w:val="32"/>
          <w:szCs w:val="32"/>
        </w:rPr>
        <w:t>噻虫胺、噻虫嗪项目不符合 GB 2763-2021《食品安全国家标准 食品中农药</w:t>
      </w:r>
      <w:bookmarkStart w:id="1" w:name="_GoBack"/>
      <w:bookmarkEnd w:id="1"/>
      <w:r>
        <w:rPr>
          <w:rFonts w:hint="eastAsia" w:eastAsia="仿宋_GB2312"/>
          <w:sz w:val="32"/>
          <w:szCs w:val="32"/>
        </w:rPr>
        <w:t>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2025年9月9日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次生姜共购进</w:t>
      </w:r>
      <w:r>
        <w:rPr>
          <w:rFonts w:hint="default" w:ascii="Times New Roman" w:hAnsi="Times New Roman" w:eastAsia="仿宋_GB2312" w:cs="Times New Roman"/>
          <w:spacing w:val="1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pacing w:val="1"/>
          <w:sz w:val="32"/>
          <w:szCs w:val="32"/>
          <w:u w:val="none"/>
          <w:lang w:val="en-US" w:eastAsia="zh-CN"/>
        </w:rPr>
        <w:t>988</w:t>
      </w:r>
      <w:r>
        <w:rPr>
          <w:rFonts w:hint="eastAsia" w:eastAsia="仿宋_GB2312"/>
          <w:sz w:val="32"/>
          <w:szCs w:val="32"/>
          <w:lang w:val="en-US" w:eastAsia="zh-CN"/>
        </w:rPr>
        <w:t>公斤，货值</w:t>
      </w:r>
      <w:r>
        <w:rPr>
          <w:rFonts w:hint="default" w:ascii="Times New Roman" w:hAnsi="Times New Roman" w:eastAsia="仿宋_GB2312" w:cs="Times New Roman"/>
          <w:spacing w:val="1"/>
          <w:sz w:val="32"/>
          <w:szCs w:val="32"/>
          <w:u w:val="none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pacing w:val="1"/>
          <w:sz w:val="32"/>
          <w:szCs w:val="32"/>
          <w:u w:val="none"/>
          <w:lang w:val="en-US" w:eastAsia="zh-CN"/>
        </w:rPr>
        <w:t>21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农产品检验报告单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进货明细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9D3286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2025-10-30T00:47:00Z</cp:lastPrinted>
  <dcterms:modified xsi:type="dcterms:W3CDTF">2025-11-25T08:50:56Z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